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3" w:rsidRPr="006C7661" w:rsidRDefault="006C7661">
      <w:pPr>
        <w:rPr>
          <w:rFonts w:asciiTheme="minorEastAsia" w:hAnsiTheme="minorEastAsia" w:hint="eastAsia"/>
        </w:rPr>
      </w:pPr>
      <w:r w:rsidRPr="006C7661">
        <w:rPr>
          <w:rFonts w:asciiTheme="minorEastAsia" w:hAnsiTheme="minorEastAsia" w:cs="宋体" w:hint="eastAsia"/>
          <w:b w:val="0"/>
          <w:bCs w:val="0"/>
          <w:color w:val="000000"/>
          <w:kern w:val="0"/>
          <w:sz w:val="32"/>
          <w:szCs w:val="32"/>
        </w:rPr>
        <w:t>附件2</w:t>
      </w:r>
    </w:p>
    <w:p w:rsidR="006C7661" w:rsidRDefault="006C7661" w:rsidP="006C7661">
      <w:pPr>
        <w:jc w:val="center"/>
        <w:rPr>
          <w:rFonts w:hint="eastAsia"/>
        </w:rPr>
      </w:pPr>
      <w:r w:rsidRPr="006C7661">
        <w:rPr>
          <w:rFonts w:ascii="方正小标宋简体" w:eastAsia="方正小标宋简体" w:hAnsi="宋体" w:cs="宋体" w:hint="eastAsia"/>
          <w:b w:val="0"/>
          <w:bCs w:val="0"/>
          <w:color w:val="000000"/>
          <w:kern w:val="0"/>
          <w:sz w:val="44"/>
          <w:szCs w:val="44"/>
        </w:rPr>
        <w:t>普通高等学校2015-2016学年本科教学质量报告支撑数据目录</w:t>
      </w:r>
    </w:p>
    <w:p w:rsidR="006C7661" w:rsidRDefault="006C7661" w:rsidP="006C7661">
      <w:pPr>
        <w:rPr>
          <w:rFonts w:ascii="华文仿宋" w:eastAsia="华文仿宋" w:hAnsi="华文仿宋" w:hint="eastAsia"/>
          <w:b w:val="0"/>
          <w:sz w:val="32"/>
          <w:szCs w:val="32"/>
        </w:rPr>
      </w:pP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1.本科生占全日制在校生总数的比例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2.教师数量及结构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3.专业设置情况（全校本科专业总数、当年本科招生专业总数以及当年新增专业、停招专业名单）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4.生师比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5.生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均教学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科研仪器设备值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6.当年新增教学科研仪器设备值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7.生均图书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8.电子图书、电子期刊种数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9.生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均教学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行政用房（其中生均实验室面积）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10.生均本科教学日常运行支出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11.本科专项教学经费（自然年度内学校立项用于本科教学改革和建设的专项经费总额）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12.生均本科实验经费（自然年度内学校用于实验教学运行、维护经费生均值）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13.生均本科实习经费（自然年度内用于本科培养方案内的实习环节支出经费生均值）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14.全校开设课程总门数（学年度内实际开设的本科培养</w:t>
      </w:r>
      <w:r w:rsidRPr="006C7661">
        <w:rPr>
          <w:rFonts w:ascii="华文仿宋" w:eastAsia="华文仿宋" w:hAnsi="华文仿宋" w:hint="eastAsia"/>
          <w:b w:val="0"/>
          <w:sz w:val="32"/>
          <w:szCs w:val="32"/>
        </w:rPr>
        <w:lastRenderedPageBreak/>
        <w:t>计划内课程总数，跨学期讲授的同一门课程计一门）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15.实践教学学分占总学分比例（可按学科门类）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16.选修课学分占总学分比例（可按学科门类）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17.主讲本科课程的教授占教授总数的比例（不含讲座）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18.教授讲授本科课程占课程总门次数的比例（一门课程的全部课时均由教授授课，计为1；由多名教师共同承担的，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按教授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实际承担学时比例计算）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19.应届本科生毕业率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20.应届本科生学位授予率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21.应届本科生初次就业率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22.体质测试达标率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23.学生学习满意度(调查方法与结果)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24.用人单位对毕业生满意度(调查方法与结果)</w:t>
      </w:r>
    </w:p>
    <w:p w:rsid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25.其它与本科教学质量相关数据</w:t>
      </w:r>
    </w:p>
    <w:p w:rsidR="006C7661" w:rsidRPr="006C7661" w:rsidRDefault="006C7661" w:rsidP="006C7661">
      <w:pPr>
        <w:rPr>
          <w:rFonts w:ascii="华文仿宋" w:eastAsia="华文仿宋" w:hAnsi="华文仿宋" w:hint="eastAsia"/>
          <w:b w:val="0"/>
          <w:sz w:val="32"/>
          <w:szCs w:val="32"/>
        </w:rPr>
      </w:pPr>
    </w:p>
    <w:p w:rsidR="006C7661" w:rsidRPr="006C7661" w:rsidRDefault="006C7661" w:rsidP="006C7661">
      <w:pPr>
        <w:rPr>
          <w:rFonts w:ascii="黑体" w:eastAsia="黑体" w:hAnsi="黑体" w:hint="eastAsia"/>
          <w:b w:val="0"/>
          <w:sz w:val="32"/>
          <w:szCs w:val="32"/>
        </w:rPr>
      </w:pPr>
      <w:r w:rsidRPr="006C7661">
        <w:rPr>
          <w:rFonts w:ascii="黑体" w:eastAsia="黑体" w:hAnsi="黑体" w:hint="eastAsia"/>
          <w:b w:val="0"/>
          <w:sz w:val="32"/>
          <w:szCs w:val="32"/>
        </w:rPr>
        <w:t>说明：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1.数据的计算方法参照《教育部关于印发〈普通高等学校基本办学条件指标（试行）〉的通知》(教发〔2004〕2号)文件。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2.财务数据（如经费、工资等）按照自然年度计算，截止到2015年年底；教学数据（学生、教师、专业、课程等）应按照学年度计算，为2015-2016学年。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lastRenderedPageBreak/>
        <w:t>3.第10项数据参照《教育部办公厅关于开展普通高等学校本科教学工作合格评估的通知》(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教高厅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〔2011〕2号)文件，是指学校开展普通本科教学活动及其辅助活动发生的支出，仅指教学基本支出中的商品和服务支出（302类）（不含教学专项拨款支出），具体包括：教学教辅部门发生的办公费（含考试考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务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费、手续费等）、印刷费、咨询费、邮电费、交通费、差旅费、出国费、维修（护）费、租赁费、会议费、培训费、专用材料费（含体育维持费等）、劳务费、其他教学商品和服务支出（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含学生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活动费、教学咨询研究机构会员费、教学改革科研业务费、委托业务费等）。取会计决算数。</w:t>
      </w:r>
    </w:p>
    <w:p w:rsidR="006C7661" w:rsidRPr="006C7661" w:rsidRDefault="006C7661" w:rsidP="006C7661">
      <w:pPr>
        <w:ind w:firstLineChars="200" w:firstLine="640"/>
        <w:rPr>
          <w:rFonts w:ascii="华文仿宋" w:eastAsia="华文仿宋" w:hAnsi="华文仿宋" w:hint="eastAsia"/>
          <w:b w:val="0"/>
          <w:sz w:val="32"/>
          <w:szCs w:val="32"/>
        </w:rPr>
      </w:pP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4.第23、24</w:t>
      </w:r>
      <w:proofErr w:type="gramStart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两项数据</w:t>
      </w:r>
      <w:proofErr w:type="gramEnd"/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本次可视本校此项工作基础酌情公布。</w:t>
      </w:r>
    </w:p>
    <w:p w:rsidR="006C7661" w:rsidRPr="006C7661" w:rsidRDefault="006C7661">
      <w:r w:rsidRPr="006C7661">
        <w:rPr>
          <w:rFonts w:ascii="华文仿宋" w:eastAsia="华文仿宋" w:hAnsi="华文仿宋" w:hint="eastAsia"/>
          <w:b w:val="0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b w:val="0"/>
          <w:sz w:val="32"/>
          <w:szCs w:val="32"/>
        </w:rPr>
        <w:t xml:space="preserve"> </w:t>
      </w:r>
      <w:r w:rsidRPr="006C7661">
        <w:rPr>
          <w:rFonts w:ascii="华文仿宋" w:eastAsia="华文仿宋" w:hAnsi="华文仿宋" w:hint="eastAsia"/>
          <w:b w:val="0"/>
          <w:sz w:val="32"/>
          <w:szCs w:val="32"/>
        </w:rPr>
        <w:t>5.质量报告中的各项数据均保留小数点后两位数字。</w:t>
      </w:r>
    </w:p>
    <w:sectPr w:rsidR="006C7661" w:rsidRPr="006C7661" w:rsidSect="006C7661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1B" w:rsidRDefault="00D00F1B" w:rsidP="006C7661">
      <w:r>
        <w:separator/>
      </w:r>
    </w:p>
  </w:endnote>
  <w:endnote w:type="continuationSeparator" w:id="0">
    <w:p w:rsidR="00D00F1B" w:rsidRDefault="00D00F1B" w:rsidP="006C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77736"/>
      <w:docPartObj>
        <w:docPartGallery w:val="Page Numbers (Bottom of Page)"/>
        <w:docPartUnique/>
      </w:docPartObj>
    </w:sdtPr>
    <w:sdtContent>
      <w:p w:rsidR="006C7661" w:rsidRDefault="006C7661">
        <w:pPr>
          <w:pStyle w:val="a4"/>
          <w:jc w:val="center"/>
        </w:pPr>
        <w:fldSimple w:instr=" PAGE   \* MERGEFORMAT ">
          <w:r w:rsidRPr="006C7661">
            <w:rPr>
              <w:noProof/>
              <w:lang w:val="zh-CN"/>
            </w:rPr>
            <w:t>2</w:t>
          </w:r>
        </w:fldSimple>
      </w:p>
    </w:sdtContent>
  </w:sdt>
  <w:p w:rsidR="006C7661" w:rsidRDefault="006C76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1B" w:rsidRDefault="00D00F1B" w:rsidP="006C7661">
      <w:r>
        <w:separator/>
      </w:r>
    </w:p>
  </w:footnote>
  <w:footnote w:type="continuationSeparator" w:id="0">
    <w:p w:rsidR="00D00F1B" w:rsidRDefault="00D00F1B" w:rsidP="006C76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661"/>
    <w:rsid w:val="00124AD4"/>
    <w:rsid w:val="001A1243"/>
    <w:rsid w:val="003475C1"/>
    <w:rsid w:val="006C7661"/>
    <w:rsid w:val="00D00F1B"/>
    <w:rsid w:val="00DE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bCs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6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2016-12-07T07:45:00Z</dcterms:created>
  <dcterms:modified xsi:type="dcterms:W3CDTF">2016-12-07T07:50:00Z</dcterms:modified>
</cp:coreProperties>
</file>